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048"/>
        <w:gridCol w:w="2390"/>
        <w:gridCol w:w="1080"/>
        <w:gridCol w:w="2520"/>
        <w:gridCol w:w="2538"/>
      </w:tblGrid>
      <w:tr w:rsidR="001A7FFA" w:rsidRPr="00DD1E28" w:rsidTr="00941F85">
        <w:trPr>
          <w:trHeight w:val="375"/>
        </w:trPr>
        <w:tc>
          <w:tcPr>
            <w:tcW w:w="1048" w:type="dxa"/>
            <w:shd w:val="clear" w:color="auto" w:fill="FDE9D9" w:themeFill="accent6" w:themeFillTint="33"/>
            <w:hideMark/>
          </w:tcPr>
          <w:p w:rsidR="001A7FFA" w:rsidRPr="00DD1E28" w:rsidRDefault="001A7FFA" w:rsidP="001A7FFA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D1E28">
              <w:rPr>
                <w:rFonts w:asciiTheme="majorHAnsi" w:hAnsiTheme="majorHAnsi"/>
                <w:b/>
                <w:bCs/>
                <w:sz w:val="20"/>
                <w:szCs w:val="20"/>
              </w:rPr>
              <w:t>Gene</w:t>
            </w:r>
          </w:p>
        </w:tc>
        <w:tc>
          <w:tcPr>
            <w:tcW w:w="2390" w:type="dxa"/>
            <w:shd w:val="clear" w:color="auto" w:fill="FDE9D9" w:themeFill="accent6" w:themeFillTint="33"/>
            <w:hideMark/>
          </w:tcPr>
          <w:p w:rsidR="001A7FFA" w:rsidRPr="00DD1E28" w:rsidRDefault="001A7FFA" w:rsidP="001A7FFA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D1E28">
              <w:rPr>
                <w:rFonts w:asciiTheme="majorHAnsi" w:hAnsiTheme="majorHAnsi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1080" w:type="dxa"/>
            <w:shd w:val="clear" w:color="auto" w:fill="FDE9D9" w:themeFill="accent6" w:themeFillTint="33"/>
            <w:hideMark/>
          </w:tcPr>
          <w:p w:rsidR="001A7FFA" w:rsidRPr="00DD1E28" w:rsidRDefault="001A7FFA" w:rsidP="001A7FFA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D1E28">
              <w:rPr>
                <w:rFonts w:asciiTheme="majorHAnsi" w:hAnsiTheme="majorHAnsi"/>
                <w:b/>
                <w:bCs/>
                <w:sz w:val="20"/>
                <w:szCs w:val="20"/>
              </w:rPr>
              <w:t>P-Value</w:t>
            </w:r>
          </w:p>
        </w:tc>
        <w:tc>
          <w:tcPr>
            <w:tcW w:w="2520" w:type="dxa"/>
            <w:shd w:val="clear" w:color="auto" w:fill="FDE9D9" w:themeFill="accent6" w:themeFillTint="33"/>
            <w:hideMark/>
          </w:tcPr>
          <w:p w:rsidR="001A7FFA" w:rsidRPr="00DD1E28" w:rsidRDefault="001A7FFA" w:rsidP="001E7E90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D1E28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Neurological Disease </w:t>
            </w:r>
            <w:r w:rsidR="001E7E90" w:rsidRPr="00DD1E28">
              <w:rPr>
                <w:rFonts w:asciiTheme="majorHAnsi" w:hAnsiTheme="majorHAnsi"/>
                <w:b/>
                <w:bCs/>
                <w:sz w:val="20"/>
                <w:szCs w:val="20"/>
              </w:rPr>
              <w:t>P</w:t>
            </w:r>
            <w:r w:rsidRPr="00DD1E28">
              <w:rPr>
                <w:rFonts w:asciiTheme="majorHAnsi" w:hAnsiTheme="majorHAnsi"/>
                <w:b/>
                <w:bCs/>
                <w:sz w:val="20"/>
                <w:szCs w:val="20"/>
              </w:rPr>
              <w:t>henotypes</w:t>
            </w:r>
          </w:p>
        </w:tc>
        <w:tc>
          <w:tcPr>
            <w:tcW w:w="2538" w:type="dxa"/>
            <w:shd w:val="clear" w:color="auto" w:fill="FDE9D9" w:themeFill="accent6" w:themeFillTint="33"/>
            <w:hideMark/>
          </w:tcPr>
          <w:p w:rsidR="001A7FFA" w:rsidRPr="00DD1E28" w:rsidRDefault="001A7FFA" w:rsidP="001A7FFA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DD1E28">
              <w:rPr>
                <w:rFonts w:asciiTheme="majorHAnsi" w:hAnsiTheme="majorHAnsi"/>
                <w:b/>
                <w:bCs/>
                <w:sz w:val="20"/>
                <w:szCs w:val="20"/>
              </w:rPr>
              <w:t>Clinical Variations</w:t>
            </w:r>
          </w:p>
        </w:tc>
      </w:tr>
      <w:tr w:rsidR="001A7FFA" w:rsidRPr="00DD1E28" w:rsidTr="00941F85">
        <w:trPr>
          <w:trHeight w:val="900"/>
        </w:trPr>
        <w:tc>
          <w:tcPr>
            <w:tcW w:w="104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AHI1</w:t>
            </w:r>
          </w:p>
        </w:tc>
        <w:tc>
          <w:tcPr>
            <w:tcW w:w="239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Abelson helper integration site 1</w:t>
            </w:r>
          </w:p>
        </w:tc>
        <w:tc>
          <w:tcPr>
            <w:tcW w:w="1080" w:type="dxa"/>
            <w:hideMark/>
          </w:tcPr>
          <w:p w:rsidR="001A7FFA" w:rsidRPr="00DD1E28" w:rsidRDefault="001A7FFA" w:rsidP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7.26E-10</w:t>
            </w:r>
          </w:p>
        </w:tc>
        <w:tc>
          <w:tcPr>
            <w:tcW w:w="252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 xml:space="preserve">Joubert syndrome and related disorder| polymicrogyria | cerebellar ataxia | intellectual disability | mental retardation | bipolar disorder | schizophrenia | neuronitis </w:t>
            </w:r>
          </w:p>
        </w:tc>
        <w:tc>
          <w:tcPr>
            <w:tcW w:w="253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Joubert syndrome 3 (Pathogenic likely)</w:t>
            </w:r>
          </w:p>
        </w:tc>
      </w:tr>
      <w:tr w:rsidR="001A7FFA" w:rsidRPr="00DD1E28" w:rsidTr="00941F85">
        <w:trPr>
          <w:trHeight w:val="315"/>
        </w:trPr>
        <w:tc>
          <w:tcPr>
            <w:tcW w:w="104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BARD1</w:t>
            </w:r>
          </w:p>
        </w:tc>
        <w:tc>
          <w:tcPr>
            <w:tcW w:w="239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BRCA1 associated RING domain 1</w:t>
            </w:r>
          </w:p>
        </w:tc>
        <w:tc>
          <w:tcPr>
            <w:tcW w:w="1080" w:type="dxa"/>
            <w:hideMark/>
          </w:tcPr>
          <w:p w:rsidR="001A7FFA" w:rsidRPr="00DD1E28" w:rsidRDefault="001A7FFA" w:rsidP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1.18E-07</w:t>
            </w:r>
          </w:p>
        </w:tc>
        <w:tc>
          <w:tcPr>
            <w:tcW w:w="252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Neuroblastoma susceptibility</w:t>
            </w:r>
          </w:p>
        </w:tc>
        <w:tc>
          <w:tcPr>
            <w:tcW w:w="2538" w:type="dxa"/>
            <w:noWrap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Neoplastic Syndromes| Hereditary (Pathogenic likely)</w:t>
            </w:r>
          </w:p>
        </w:tc>
      </w:tr>
      <w:tr w:rsidR="001A7FFA" w:rsidRPr="00DD1E28" w:rsidTr="00941F85">
        <w:trPr>
          <w:trHeight w:val="315"/>
        </w:trPr>
        <w:tc>
          <w:tcPr>
            <w:tcW w:w="104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CLECL1</w:t>
            </w:r>
          </w:p>
        </w:tc>
        <w:tc>
          <w:tcPr>
            <w:tcW w:w="239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C-type lectin-like 1</w:t>
            </w:r>
          </w:p>
        </w:tc>
        <w:tc>
          <w:tcPr>
            <w:tcW w:w="1080" w:type="dxa"/>
            <w:hideMark/>
          </w:tcPr>
          <w:p w:rsidR="001A7FFA" w:rsidRPr="00DD1E28" w:rsidRDefault="001A7FFA" w:rsidP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9.95E-19</w:t>
            </w:r>
          </w:p>
        </w:tc>
        <w:tc>
          <w:tcPr>
            <w:tcW w:w="252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Multiple sclerosis</w:t>
            </w:r>
          </w:p>
        </w:tc>
        <w:tc>
          <w:tcPr>
            <w:tcW w:w="253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A7FFA" w:rsidRPr="00DD1E28" w:rsidTr="00941F85">
        <w:trPr>
          <w:trHeight w:val="315"/>
        </w:trPr>
        <w:tc>
          <w:tcPr>
            <w:tcW w:w="104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DISC1</w:t>
            </w:r>
          </w:p>
        </w:tc>
        <w:tc>
          <w:tcPr>
            <w:tcW w:w="239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disrupted in schizophrenia 1</w:t>
            </w:r>
          </w:p>
        </w:tc>
        <w:tc>
          <w:tcPr>
            <w:tcW w:w="1080" w:type="dxa"/>
            <w:hideMark/>
          </w:tcPr>
          <w:p w:rsidR="001A7FFA" w:rsidRPr="00DD1E28" w:rsidRDefault="001A7FFA" w:rsidP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2.56E-11</w:t>
            </w:r>
          </w:p>
        </w:tc>
        <w:tc>
          <w:tcPr>
            <w:tcW w:w="252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38" w:type="dxa"/>
            <w:noWrap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Schizophrenia 9 (Pathogenic likely)</w:t>
            </w:r>
          </w:p>
        </w:tc>
      </w:tr>
      <w:tr w:rsidR="001A7FFA" w:rsidRPr="00DD1E28" w:rsidTr="00941F85">
        <w:trPr>
          <w:trHeight w:val="315"/>
        </w:trPr>
        <w:tc>
          <w:tcPr>
            <w:tcW w:w="104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FAM119B</w:t>
            </w:r>
          </w:p>
        </w:tc>
        <w:tc>
          <w:tcPr>
            <w:tcW w:w="239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family with sequence similarity 119, member B</w:t>
            </w:r>
          </w:p>
        </w:tc>
        <w:tc>
          <w:tcPr>
            <w:tcW w:w="1080" w:type="dxa"/>
            <w:hideMark/>
          </w:tcPr>
          <w:p w:rsidR="001A7FFA" w:rsidRPr="00DD1E28" w:rsidRDefault="001A7FFA" w:rsidP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1.00E-24</w:t>
            </w:r>
          </w:p>
        </w:tc>
        <w:tc>
          <w:tcPr>
            <w:tcW w:w="252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Multiple scelerosis</w:t>
            </w:r>
          </w:p>
        </w:tc>
        <w:tc>
          <w:tcPr>
            <w:tcW w:w="253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A7FFA" w:rsidRPr="00DD1E28" w:rsidTr="00941F85">
        <w:trPr>
          <w:trHeight w:val="630"/>
        </w:trPr>
        <w:tc>
          <w:tcPr>
            <w:tcW w:w="104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HLA-C</w:t>
            </w:r>
          </w:p>
        </w:tc>
        <w:tc>
          <w:tcPr>
            <w:tcW w:w="239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major histocompatibility complex, class I, C</w:t>
            </w:r>
          </w:p>
        </w:tc>
        <w:tc>
          <w:tcPr>
            <w:tcW w:w="1080" w:type="dxa"/>
            <w:hideMark/>
          </w:tcPr>
          <w:p w:rsidR="001A7FFA" w:rsidRPr="00DD1E28" w:rsidRDefault="001A7FFA" w:rsidP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1.62E-10</w:t>
            </w:r>
          </w:p>
        </w:tc>
        <w:tc>
          <w:tcPr>
            <w:tcW w:w="252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 xml:space="preserve"> Multiple Sclerosis</w:t>
            </w:r>
          </w:p>
        </w:tc>
        <w:tc>
          <w:tcPr>
            <w:tcW w:w="253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Psoriasis susceptibility 1  (Risk factor); Hiv-1 viremia| susceptibility to (Risk factor)</w:t>
            </w:r>
          </w:p>
        </w:tc>
      </w:tr>
      <w:tr w:rsidR="001A7FFA" w:rsidRPr="00DD1E28" w:rsidTr="00941F85">
        <w:trPr>
          <w:trHeight w:val="1890"/>
        </w:trPr>
        <w:tc>
          <w:tcPr>
            <w:tcW w:w="104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HLA-DQA1</w:t>
            </w:r>
          </w:p>
        </w:tc>
        <w:tc>
          <w:tcPr>
            <w:tcW w:w="239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major histocompatibility complex, class II, DQ alpha 1</w:t>
            </w:r>
          </w:p>
        </w:tc>
        <w:tc>
          <w:tcPr>
            <w:tcW w:w="1080" w:type="dxa"/>
            <w:hideMark/>
          </w:tcPr>
          <w:p w:rsidR="001A7FFA" w:rsidRPr="00DD1E28" w:rsidRDefault="001A7FFA" w:rsidP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252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 xml:space="preserve"> Stroke| lacunar| brain infarction| multiple sclerosis| schizophrenia</w:t>
            </w:r>
          </w:p>
        </w:tc>
        <w:tc>
          <w:tcPr>
            <w:tcW w:w="253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 xml:space="preserve">Celiac disease 3| Systemic lupus erythematosus| susceptibility to| Diabetes mellitus| insulin-dependent| susceptibility to|Hashimoto thyroiditis| susceptibility to| Thyroid-associated </w:t>
            </w: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orbitopathy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| susceptibility to| Graves disease 4 </w:t>
            </w:r>
          </w:p>
        </w:tc>
      </w:tr>
      <w:tr w:rsidR="001A7FFA" w:rsidRPr="00DD1E28" w:rsidTr="00941F85">
        <w:trPr>
          <w:trHeight w:val="1890"/>
        </w:trPr>
        <w:tc>
          <w:tcPr>
            <w:tcW w:w="104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HLA-DQB1</w:t>
            </w:r>
          </w:p>
        </w:tc>
        <w:tc>
          <w:tcPr>
            <w:tcW w:w="239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major histocompatibility complex, class II, DQ beta 1</w:t>
            </w:r>
          </w:p>
        </w:tc>
        <w:tc>
          <w:tcPr>
            <w:tcW w:w="1080" w:type="dxa"/>
            <w:hideMark/>
          </w:tcPr>
          <w:p w:rsidR="001A7FFA" w:rsidRPr="00DD1E28" w:rsidRDefault="001A7FFA" w:rsidP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252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 xml:space="preserve">Variant </w:t>
            </w: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creutzfeldt-jakob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 disease| multiple sclerosis|  small fiber neuropathy|  genetic </w:t>
            </w: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prion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 diseases| narcolepsy| </w:t>
            </w: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kleine-levin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 syndrome</w:t>
            </w:r>
          </w:p>
        </w:tc>
        <w:tc>
          <w:tcPr>
            <w:tcW w:w="253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 xml:space="preserve">Celiac disease 3| Systemic lupus erythematosus| susceptibility to| Diabetes mellitus| insulin-dependent| susceptibility to|Hashimoto thyroiditis| susceptibility to| Thyroid-associated </w:t>
            </w: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orbitopathy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| susceptibility to| Graves disease 4 </w:t>
            </w:r>
          </w:p>
        </w:tc>
      </w:tr>
      <w:tr w:rsidR="001A7FFA" w:rsidRPr="00DD1E28" w:rsidTr="00941F85">
        <w:trPr>
          <w:trHeight w:val="900"/>
        </w:trPr>
        <w:tc>
          <w:tcPr>
            <w:tcW w:w="104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HLA-DRA</w:t>
            </w:r>
          </w:p>
        </w:tc>
        <w:tc>
          <w:tcPr>
            <w:tcW w:w="239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major histocompatibility complex, class II, DR alpha</w:t>
            </w:r>
          </w:p>
        </w:tc>
        <w:tc>
          <w:tcPr>
            <w:tcW w:w="1080" w:type="dxa"/>
            <w:hideMark/>
          </w:tcPr>
          <w:p w:rsidR="001A7FFA" w:rsidRPr="00DD1E28" w:rsidRDefault="001A7FFA" w:rsidP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8.28E-08</w:t>
            </w:r>
          </w:p>
        </w:tc>
        <w:tc>
          <w:tcPr>
            <w:tcW w:w="2520" w:type="dxa"/>
            <w:hideMark/>
          </w:tcPr>
          <w:p w:rsidR="001A7FFA" w:rsidRPr="00DD1E28" w:rsidRDefault="001A7FFA" w:rsidP="001A7FFA">
            <w:pPr>
              <w:spacing w:after="200"/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 xml:space="preserve">   retinoblastoma</w:t>
            </w:r>
          </w:p>
        </w:tc>
        <w:tc>
          <w:tcPr>
            <w:tcW w:w="253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A7FFA" w:rsidRPr="00DD1E28" w:rsidTr="00941F85">
        <w:trPr>
          <w:trHeight w:val="315"/>
        </w:trPr>
        <w:tc>
          <w:tcPr>
            <w:tcW w:w="104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HLA-DRB5</w:t>
            </w:r>
          </w:p>
        </w:tc>
        <w:tc>
          <w:tcPr>
            <w:tcW w:w="239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major histocompatibility complex, class II, DR beta 5</w:t>
            </w:r>
          </w:p>
        </w:tc>
        <w:tc>
          <w:tcPr>
            <w:tcW w:w="1080" w:type="dxa"/>
            <w:hideMark/>
          </w:tcPr>
          <w:p w:rsidR="001A7FFA" w:rsidRPr="00DD1E28" w:rsidRDefault="001A7FFA" w:rsidP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4.60E-14</w:t>
            </w:r>
          </w:p>
        </w:tc>
        <w:tc>
          <w:tcPr>
            <w:tcW w:w="2520" w:type="dxa"/>
            <w:noWrap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 xml:space="preserve">  Multiple sclerosis</w:t>
            </w:r>
          </w:p>
        </w:tc>
        <w:tc>
          <w:tcPr>
            <w:tcW w:w="253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A7FFA" w:rsidRPr="00DD1E28" w:rsidTr="00941F85">
        <w:trPr>
          <w:trHeight w:val="900"/>
        </w:trPr>
        <w:tc>
          <w:tcPr>
            <w:tcW w:w="104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HLA-G</w:t>
            </w:r>
          </w:p>
        </w:tc>
        <w:tc>
          <w:tcPr>
            <w:tcW w:w="239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major histocompatibility complex, class I, G</w:t>
            </w:r>
          </w:p>
        </w:tc>
        <w:tc>
          <w:tcPr>
            <w:tcW w:w="1080" w:type="dxa"/>
            <w:hideMark/>
          </w:tcPr>
          <w:p w:rsidR="001A7FFA" w:rsidRPr="00DD1E28" w:rsidRDefault="001A7FFA" w:rsidP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9.97E-11</w:t>
            </w:r>
          </w:p>
        </w:tc>
        <w:tc>
          <w:tcPr>
            <w:tcW w:w="2520" w:type="dxa"/>
            <w:noWrap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 xml:space="preserve">  Multiple sclerosis</w:t>
            </w:r>
          </w:p>
        </w:tc>
        <w:tc>
          <w:tcPr>
            <w:tcW w:w="253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Developmental delay AND/OR other significant developmental or morphological phenotypes (pathogenic likely)</w:t>
            </w:r>
          </w:p>
        </w:tc>
      </w:tr>
      <w:tr w:rsidR="001A7FFA" w:rsidRPr="00DD1E28" w:rsidTr="00941F85">
        <w:trPr>
          <w:trHeight w:val="630"/>
        </w:trPr>
        <w:tc>
          <w:tcPr>
            <w:tcW w:w="104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lastRenderedPageBreak/>
              <w:t>ITIH4</w:t>
            </w:r>
          </w:p>
        </w:tc>
        <w:tc>
          <w:tcPr>
            <w:tcW w:w="239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inter-alpha (globulin) inhibitor H4 (plasma Kallikrein-sensitive glycoprotein)</w:t>
            </w:r>
          </w:p>
        </w:tc>
        <w:tc>
          <w:tcPr>
            <w:tcW w:w="1080" w:type="dxa"/>
            <w:hideMark/>
          </w:tcPr>
          <w:p w:rsidR="001A7FFA" w:rsidRPr="00DD1E28" w:rsidRDefault="001A7FFA" w:rsidP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2.75E-08</w:t>
            </w:r>
          </w:p>
        </w:tc>
        <w:tc>
          <w:tcPr>
            <w:tcW w:w="2520" w:type="dxa"/>
            <w:noWrap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dementia| aids dementia complex</w:t>
            </w:r>
          </w:p>
        </w:tc>
        <w:tc>
          <w:tcPr>
            <w:tcW w:w="2538" w:type="dxa"/>
            <w:noWrap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Hypercholesterolemia| susceptibility to (Risk factor)</w:t>
            </w:r>
          </w:p>
        </w:tc>
      </w:tr>
      <w:tr w:rsidR="001A7FFA" w:rsidRPr="00DD1E28" w:rsidTr="00941F85">
        <w:trPr>
          <w:trHeight w:val="900"/>
        </w:trPr>
        <w:tc>
          <w:tcPr>
            <w:tcW w:w="104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LRRC37A</w:t>
            </w:r>
          </w:p>
        </w:tc>
        <w:tc>
          <w:tcPr>
            <w:tcW w:w="239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leucine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 rich repeat containing 37A</w:t>
            </w:r>
          </w:p>
        </w:tc>
        <w:tc>
          <w:tcPr>
            <w:tcW w:w="1080" w:type="dxa"/>
            <w:hideMark/>
          </w:tcPr>
          <w:p w:rsidR="001A7FFA" w:rsidRPr="00DD1E28" w:rsidRDefault="001A7FFA" w:rsidP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1.01E-16</w:t>
            </w:r>
          </w:p>
        </w:tc>
        <w:tc>
          <w:tcPr>
            <w:tcW w:w="2520" w:type="dxa"/>
            <w:noWrap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 xml:space="preserve">Parkinson's disease </w:t>
            </w:r>
          </w:p>
        </w:tc>
        <w:tc>
          <w:tcPr>
            <w:tcW w:w="253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Developmental delay AND/OR other significant developmental or morphological phenotypes (pathogenic likely)</w:t>
            </w:r>
          </w:p>
        </w:tc>
      </w:tr>
      <w:tr w:rsidR="001A7FFA" w:rsidRPr="00DD1E28" w:rsidTr="00941F85">
        <w:trPr>
          <w:trHeight w:val="900"/>
        </w:trPr>
        <w:tc>
          <w:tcPr>
            <w:tcW w:w="104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MAPK8IP1</w:t>
            </w:r>
          </w:p>
        </w:tc>
        <w:tc>
          <w:tcPr>
            <w:tcW w:w="239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mitogen-activated protein kinase 8 interacting protein 1</w:t>
            </w:r>
          </w:p>
        </w:tc>
        <w:tc>
          <w:tcPr>
            <w:tcW w:w="1080" w:type="dxa"/>
            <w:hideMark/>
          </w:tcPr>
          <w:p w:rsidR="001A7FFA" w:rsidRPr="00DD1E28" w:rsidRDefault="001A7FFA" w:rsidP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2.99E-12</w:t>
            </w:r>
          </w:p>
        </w:tc>
        <w:tc>
          <w:tcPr>
            <w:tcW w:w="252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 xml:space="preserve">Alzheimer's Disease| Parkinson's disease </w:t>
            </w:r>
          </w:p>
        </w:tc>
        <w:tc>
          <w:tcPr>
            <w:tcW w:w="253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Diabetes Type 2 (pathogenic)| Developmental delay AND/OR other significant developmental or morphological phenotypes (pathogenic likely)</w:t>
            </w:r>
          </w:p>
        </w:tc>
      </w:tr>
      <w:tr w:rsidR="001A7FFA" w:rsidRPr="00DD1E28" w:rsidTr="00941F85">
        <w:trPr>
          <w:trHeight w:val="1200"/>
        </w:trPr>
        <w:tc>
          <w:tcPr>
            <w:tcW w:w="104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MAPT</w:t>
            </w:r>
          </w:p>
        </w:tc>
        <w:tc>
          <w:tcPr>
            <w:tcW w:w="239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microtubule-associated protein tau</w:t>
            </w:r>
          </w:p>
        </w:tc>
        <w:tc>
          <w:tcPr>
            <w:tcW w:w="1080" w:type="dxa"/>
            <w:hideMark/>
          </w:tcPr>
          <w:p w:rsidR="001A7FFA" w:rsidRPr="00DD1E28" w:rsidRDefault="001A7FFA" w:rsidP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4.77E-10</w:t>
            </w:r>
          </w:p>
        </w:tc>
        <w:tc>
          <w:tcPr>
            <w:tcW w:w="252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 xml:space="preserve">Parkinson's disease | progressive </w:t>
            </w: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supranuclear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 palsy atypical  |</w:t>
            </w: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corticobasal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 degeneration | </w:t>
            </w: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alzheimer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 disease type 3| </w:t>
            </w: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prion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 disease | motor neuron disease |tremor | neuritis</w:t>
            </w:r>
          </w:p>
        </w:tc>
        <w:tc>
          <w:tcPr>
            <w:tcW w:w="253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A7FFA" w:rsidRPr="00DD1E28" w:rsidTr="00941F85">
        <w:trPr>
          <w:trHeight w:val="630"/>
        </w:trPr>
        <w:tc>
          <w:tcPr>
            <w:tcW w:w="104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MTHFR</w:t>
            </w:r>
          </w:p>
        </w:tc>
        <w:tc>
          <w:tcPr>
            <w:tcW w:w="239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5,10-methylenetetrahydrofolate reductase (NADPH)</w:t>
            </w:r>
          </w:p>
        </w:tc>
        <w:tc>
          <w:tcPr>
            <w:tcW w:w="1080" w:type="dxa"/>
            <w:hideMark/>
          </w:tcPr>
          <w:p w:rsidR="001A7FFA" w:rsidRPr="00DD1E28" w:rsidRDefault="001A7FFA" w:rsidP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3.30E-08</w:t>
            </w:r>
          </w:p>
        </w:tc>
        <w:tc>
          <w:tcPr>
            <w:tcW w:w="252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Neural tube defects</w:t>
            </w:r>
          </w:p>
        </w:tc>
        <w:tc>
          <w:tcPr>
            <w:tcW w:w="253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Homocystinuria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 due to MTHFR deficiency Risk </w:t>
            </w: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facotor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  (pathogenic likely)</w:t>
            </w:r>
          </w:p>
        </w:tc>
      </w:tr>
      <w:tr w:rsidR="001A7FFA" w:rsidRPr="00DD1E28" w:rsidTr="00941F85">
        <w:trPr>
          <w:trHeight w:val="315"/>
        </w:trPr>
        <w:tc>
          <w:tcPr>
            <w:tcW w:w="104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NFIA</w:t>
            </w:r>
          </w:p>
        </w:tc>
        <w:tc>
          <w:tcPr>
            <w:tcW w:w="239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nuclear factor I/A</w:t>
            </w:r>
          </w:p>
        </w:tc>
        <w:tc>
          <w:tcPr>
            <w:tcW w:w="1080" w:type="dxa"/>
            <w:hideMark/>
          </w:tcPr>
          <w:p w:rsidR="001A7FFA" w:rsidRPr="00DD1E28" w:rsidRDefault="001A7FFA" w:rsidP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5.11E-10</w:t>
            </w:r>
          </w:p>
        </w:tc>
        <w:tc>
          <w:tcPr>
            <w:tcW w:w="2520" w:type="dxa"/>
            <w:noWrap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Natriuretic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 Peptide| Brain</w:t>
            </w:r>
          </w:p>
        </w:tc>
        <w:tc>
          <w:tcPr>
            <w:tcW w:w="253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A7FFA" w:rsidRPr="00DD1E28" w:rsidTr="00941F85">
        <w:trPr>
          <w:trHeight w:val="1200"/>
        </w:trPr>
        <w:tc>
          <w:tcPr>
            <w:tcW w:w="104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RPS6KB2</w:t>
            </w:r>
          </w:p>
        </w:tc>
        <w:tc>
          <w:tcPr>
            <w:tcW w:w="239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ribosomal protein S6 kinase, 70kDa, polypeptide 2</w:t>
            </w:r>
          </w:p>
        </w:tc>
        <w:tc>
          <w:tcPr>
            <w:tcW w:w="1080" w:type="dxa"/>
            <w:hideMark/>
          </w:tcPr>
          <w:p w:rsidR="001A7FFA" w:rsidRPr="00DD1E28" w:rsidRDefault="001A7FFA" w:rsidP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>3.87E-13</w:t>
            </w:r>
          </w:p>
        </w:tc>
        <w:tc>
          <w:tcPr>
            <w:tcW w:w="2520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r w:rsidRPr="00DD1E28">
              <w:rPr>
                <w:rFonts w:asciiTheme="majorHAnsi" w:hAnsiTheme="majorHAnsi"/>
                <w:sz w:val="20"/>
                <w:szCs w:val="20"/>
              </w:rPr>
              <w:t xml:space="preserve"> Malignant peripheral nerve sheath tumor | </w:t>
            </w: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neuroendocrine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 tumor| </w:t>
            </w: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glioblastoma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multiforme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| malignant </w:t>
            </w: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glioma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 | </w:t>
            </w: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alzheimer's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 disease | </w:t>
            </w: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astrocytoma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| multiple sclerosis | neuroblastoma| neuronitis </w:t>
            </w:r>
          </w:p>
        </w:tc>
        <w:tc>
          <w:tcPr>
            <w:tcW w:w="2538" w:type="dxa"/>
            <w:hideMark/>
          </w:tcPr>
          <w:p w:rsidR="001A7FFA" w:rsidRPr="00DD1E28" w:rsidRDefault="001A7FFA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Frontotemporal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 dementia (</w:t>
            </w:r>
            <w:proofErr w:type="spellStart"/>
            <w:r w:rsidRPr="00DD1E28">
              <w:rPr>
                <w:rFonts w:asciiTheme="majorHAnsi" w:hAnsiTheme="majorHAnsi"/>
                <w:sz w:val="20"/>
                <w:szCs w:val="20"/>
              </w:rPr>
              <w:t>pathogeni</w:t>
            </w:r>
            <w:proofErr w:type="spellEnd"/>
            <w:r w:rsidRPr="00DD1E28">
              <w:rPr>
                <w:rFonts w:asciiTheme="majorHAnsi" w:hAnsiTheme="majorHAnsi"/>
                <w:sz w:val="20"/>
                <w:szCs w:val="20"/>
              </w:rPr>
              <w:t xml:space="preserve"> likely) </w:t>
            </w:r>
          </w:p>
        </w:tc>
      </w:tr>
    </w:tbl>
    <w:p w:rsidR="00CA7FFB" w:rsidRPr="00DD1E28" w:rsidRDefault="00CA7FFB">
      <w:pPr>
        <w:rPr>
          <w:rFonts w:asciiTheme="majorHAnsi" w:hAnsiTheme="majorHAnsi"/>
          <w:sz w:val="20"/>
          <w:szCs w:val="20"/>
        </w:rPr>
      </w:pPr>
    </w:p>
    <w:p w:rsidR="00C3125A" w:rsidRPr="00DD1E28" w:rsidRDefault="00C3125A" w:rsidP="00C3125A">
      <w:pPr>
        <w:spacing w:after="0" w:line="360" w:lineRule="auto"/>
        <w:jc w:val="both"/>
        <w:rPr>
          <w:rFonts w:asciiTheme="majorHAnsi" w:hAnsiTheme="majorHAnsi"/>
          <w:sz w:val="20"/>
          <w:szCs w:val="20"/>
        </w:rPr>
      </w:pPr>
      <w:r w:rsidRPr="00DD1E28">
        <w:rPr>
          <w:rFonts w:asciiTheme="majorHAnsi" w:hAnsiTheme="majorHAnsi"/>
          <w:sz w:val="20"/>
          <w:szCs w:val="20"/>
        </w:rPr>
        <w:t>Table 1:</w:t>
      </w:r>
      <w:r w:rsidR="00827922" w:rsidRPr="00DD1E28">
        <w:rPr>
          <w:rFonts w:asciiTheme="majorHAnsi" w:hAnsiTheme="majorHAnsi"/>
          <w:sz w:val="20"/>
          <w:szCs w:val="20"/>
        </w:rPr>
        <w:t xml:space="preserve"> </w:t>
      </w:r>
      <w:r w:rsidRPr="00DD1E28">
        <w:rPr>
          <w:rFonts w:asciiTheme="majorHAnsi" w:hAnsiTheme="majorHAnsi"/>
          <w:sz w:val="20"/>
          <w:szCs w:val="20"/>
        </w:rPr>
        <w:t>The Expression Quantitative Analysis of the NeuroGenes.</w:t>
      </w:r>
      <w:r w:rsidR="00827922" w:rsidRPr="00DD1E28">
        <w:rPr>
          <w:rFonts w:asciiTheme="majorHAnsi" w:hAnsiTheme="majorHAnsi"/>
          <w:sz w:val="20"/>
          <w:szCs w:val="20"/>
        </w:rPr>
        <w:t xml:space="preserve"> </w:t>
      </w:r>
      <w:r w:rsidRPr="00DD1E28">
        <w:rPr>
          <w:rFonts w:asciiTheme="majorHAnsi" w:hAnsiTheme="majorHAnsi"/>
          <w:sz w:val="20"/>
          <w:szCs w:val="20"/>
        </w:rPr>
        <w:t>The NCBI PhenGenI tool was batch analyzed to identify expression Quantitative Trait Loci (</w:t>
      </w:r>
      <w:proofErr w:type="spellStart"/>
      <w:r w:rsidRPr="00DD1E28">
        <w:rPr>
          <w:rFonts w:asciiTheme="majorHAnsi" w:hAnsiTheme="majorHAnsi"/>
          <w:sz w:val="20"/>
          <w:szCs w:val="20"/>
        </w:rPr>
        <w:t>eQTL</w:t>
      </w:r>
      <w:proofErr w:type="spellEnd"/>
      <w:r w:rsidRPr="00DD1E28">
        <w:rPr>
          <w:rFonts w:asciiTheme="majorHAnsi" w:hAnsiTheme="majorHAnsi"/>
          <w:sz w:val="20"/>
          <w:szCs w:val="20"/>
        </w:rPr>
        <w:t xml:space="preserve">)-associated neurological traits. </w:t>
      </w:r>
      <w:proofErr w:type="gramStart"/>
      <w:r w:rsidRPr="00DD1E28">
        <w:rPr>
          <w:rFonts w:asciiTheme="majorHAnsi" w:hAnsiTheme="majorHAnsi"/>
          <w:sz w:val="20"/>
          <w:szCs w:val="20"/>
        </w:rPr>
        <w:t>p-values</w:t>
      </w:r>
      <w:proofErr w:type="gramEnd"/>
      <w:r w:rsidRPr="00DD1E28">
        <w:rPr>
          <w:rFonts w:asciiTheme="majorHAnsi" w:hAnsiTheme="majorHAnsi"/>
          <w:sz w:val="20"/>
          <w:szCs w:val="20"/>
        </w:rPr>
        <w:t xml:space="preserve"> &lt;10-5, R-Squared 0.3. The clinical variations inferred from the National Center for Biotechnology Information Clinical Variations with pathogenic or risk factor associated single nucleotide polymorphisms (ClinVar) are shown.</w:t>
      </w:r>
    </w:p>
    <w:p w:rsidR="00C3125A" w:rsidRPr="00DD1E28" w:rsidRDefault="00C3125A" w:rsidP="00C3125A">
      <w:pPr>
        <w:spacing w:after="0" w:line="360" w:lineRule="auto"/>
        <w:jc w:val="both"/>
        <w:rPr>
          <w:rFonts w:asciiTheme="majorHAnsi" w:hAnsiTheme="majorHAnsi"/>
          <w:sz w:val="20"/>
          <w:szCs w:val="20"/>
        </w:rPr>
      </w:pPr>
      <w:r w:rsidRPr="00DD1E28">
        <w:rPr>
          <w:rFonts w:asciiTheme="majorHAnsi" w:hAnsiTheme="majorHAnsi"/>
          <w:sz w:val="20"/>
          <w:szCs w:val="20"/>
        </w:rPr>
        <w:t>Abbreviations:</w:t>
      </w:r>
      <w:r w:rsidR="00827922" w:rsidRPr="00DD1E28">
        <w:rPr>
          <w:rFonts w:asciiTheme="majorHAnsi" w:hAnsiTheme="majorHAnsi"/>
          <w:sz w:val="20"/>
          <w:szCs w:val="20"/>
        </w:rPr>
        <w:t xml:space="preserve"> </w:t>
      </w:r>
      <w:r w:rsidRPr="00DD1E28">
        <w:rPr>
          <w:rFonts w:asciiTheme="majorHAnsi" w:hAnsiTheme="majorHAnsi"/>
          <w:sz w:val="20"/>
          <w:szCs w:val="20"/>
        </w:rPr>
        <w:t>FAM</w:t>
      </w:r>
      <w:r w:rsidR="00410489" w:rsidRPr="00DD1E28">
        <w:rPr>
          <w:rFonts w:asciiTheme="majorHAnsi" w:hAnsiTheme="majorHAnsi"/>
          <w:sz w:val="20"/>
          <w:szCs w:val="20"/>
        </w:rPr>
        <w:t>: F</w:t>
      </w:r>
      <w:r w:rsidRPr="00DD1E28">
        <w:rPr>
          <w:rFonts w:asciiTheme="majorHAnsi" w:hAnsiTheme="majorHAnsi"/>
          <w:sz w:val="20"/>
          <w:szCs w:val="20"/>
        </w:rPr>
        <w:t>amily; MAPK</w:t>
      </w:r>
      <w:r w:rsidR="00410489" w:rsidRPr="00DD1E28">
        <w:rPr>
          <w:rFonts w:asciiTheme="majorHAnsi" w:hAnsiTheme="majorHAnsi"/>
          <w:sz w:val="20"/>
          <w:szCs w:val="20"/>
        </w:rPr>
        <w:t>:</w:t>
      </w:r>
      <w:r w:rsidRPr="00DD1E28">
        <w:rPr>
          <w:rFonts w:asciiTheme="majorHAnsi" w:hAnsiTheme="majorHAnsi"/>
          <w:sz w:val="20"/>
          <w:szCs w:val="20"/>
        </w:rPr>
        <w:t xml:space="preserve"> </w:t>
      </w:r>
      <w:r w:rsidR="00410489" w:rsidRPr="00DD1E28">
        <w:rPr>
          <w:rFonts w:asciiTheme="majorHAnsi" w:hAnsiTheme="majorHAnsi"/>
          <w:sz w:val="20"/>
          <w:szCs w:val="20"/>
        </w:rPr>
        <w:t>Mitogen Activated Protein Kinase</w:t>
      </w:r>
      <w:r w:rsidRPr="00DD1E28">
        <w:rPr>
          <w:rFonts w:asciiTheme="majorHAnsi" w:hAnsiTheme="majorHAnsi"/>
          <w:sz w:val="20"/>
          <w:szCs w:val="20"/>
        </w:rPr>
        <w:t>; NF</w:t>
      </w:r>
      <w:r w:rsidR="00410489" w:rsidRPr="00DD1E28">
        <w:rPr>
          <w:rFonts w:asciiTheme="majorHAnsi" w:hAnsiTheme="majorHAnsi"/>
          <w:sz w:val="20"/>
          <w:szCs w:val="20"/>
        </w:rPr>
        <w:t>:</w:t>
      </w:r>
      <w:r w:rsidRPr="00DD1E28">
        <w:rPr>
          <w:rFonts w:asciiTheme="majorHAnsi" w:hAnsiTheme="majorHAnsi"/>
          <w:sz w:val="20"/>
          <w:szCs w:val="20"/>
        </w:rPr>
        <w:t xml:space="preserve"> </w:t>
      </w:r>
      <w:r w:rsidR="00410489" w:rsidRPr="00DD1E28">
        <w:rPr>
          <w:rFonts w:asciiTheme="majorHAnsi" w:hAnsiTheme="majorHAnsi"/>
          <w:sz w:val="20"/>
          <w:szCs w:val="20"/>
        </w:rPr>
        <w:t>Nuclear Factor.</w:t>
      </w:r>
    </w:p>
    <w:p w:rsidR="00C3125A" w:rsidRPr="00DD1E28" w:rsidRDefault="00C3125A">
      <w:pPr>
        <w:rPr>
          <w:rFonts w:asciiTheme="majorHAnsi" w:hAnsiTheme="majorHAnsi"/>
          <w:sz w:val="20"/>
          <w:szCs w:val="20"/>
        </w:rPr>
      </w:pPr>
    </w:p>
    <w:sectPr w:rsidR="00C3125A" w:rsidRPr="00DD1E28" w:rsidSect="004877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1A7FFA"/>
    <w:rsid w:val="001A7FFA"/>
    <w:rsid w:val="001E7E90"/>
    <w:rsid w:val="00410489"/>
    <w:rsid w:val="00472729"/>
    <w:rsid w:val="004877E9"/>
    <w:rsid w:val="006075A8"/>
    <w:rsid w:val="00827922"/>
    <w:rsid w:val="00941F85"/>
    <w:rsid w:val="00A00F56"/>
    <w:rsid w:val="00C3125A"/>
    <w:rsid w:val="00CA7FFB"/>
    <w:rsid w:val="00DA5A10"/>
    <w:rsid w:val="00DD1E28"/>
    <w:rsid w:val="00FF5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7F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586</Words>
  <Characters>3342</Characters>
  <Application>Microsoft Office Word</Application>
  <DocSecurity>0</DocSecurity>
  <Lines>27</Lines>
  <Paragraphs>7</Paragraphs>
  <ScaleCrop>false</ScaleCrop>
  <Company/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PEERTECHZ-7</cp:lastModifiedBy>
  <cp:revision>9</cp:revision>
  <dcterms:created xsi:type="dcterms:W3CDTF">2014-12-10T06:02:00Z</dcterms:created>
  <dcterms:modified xsi:type="dcterms:W3CDTF">2014-12-18T08:19:00Z</dcterms:modified>
</cp:coreProperties>
</file>